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42500" w14:textId="7F224A2D" w:rsidR="00EE2F20" w:rsidRPr="00EE2F20" w:rsidRDefault="00EE2F20" w:rsidP="00C5432D">
      <w:pPr>
        <w:jc w:val="center"/>
        <w:outlineLvl w:val="0"/>
        <w:rPr>
          <w:b/>
          <w:sz w:val="22"/>
          <w:szCs w:val="22"/>
        </w:rPr>
      </w:pPr>
      <w:r w:rsidRPr="00EE2F20">
        <w:rPr>
          <w:b/>
          <w:sz w:val="22"/>
          <w:szCs w:val="22"/>
        </w:rPr>
        <w:t>Exhibit 5</w:t>
      </w:r>
    </w:p>
    <w:p w14:paraId="444EE94B" w14:textId="00DDF748" w:rsidR="00C5432D" w:rsidRPr="00E80EFD" w:rsidRDefault="00595110" w:rsidP="00C5432D">
      <w:pPr>
        <w:jc w:val="center"/>
        <w:outlineLvl w:val="0"/>
        <w:rPr>
          <w:b/>
        </w:rPr>
      </w:pPr>
      <w:r>
        <w:rPr>
          <w:b/>
        </w:rPr>
        <w:t>ACCOMMODATING</w:t>
      </w:r>
      <w:r w:rsidR="00C5432D">
        <w:rPr>
          <w:b/>
        </w:rPr>
        <w:t xml:space="preserve"> MEALTIME FLEXIBILITY AND AVAILABILITY OF FOOD</w:t>
      </w:r>
    </w:p>
    <w:p w14:paraId="2258C933" w14:textId="77777777" w:rsidR="00C5432D" w:rsidRPr="00E80EFD" w:rsidRDefault="00C5432D" w:rsidP="00C5432D">
      <w:pPr>
        <w:rPr>
          <w:b/>
        </w:rPr>
      </w:pPr>
    </w:p>
    <w:p w14:paraId="432B7308" w14:textId="77777777" w:rsidR="00C5432D" w:rsidRDefault="00C5432D" w:rsidP="00C5432D"/>
    <w:p w14:paraId="74E8DB03" w14:textId="77777777" w:rsidR="00C5432D" w:rsidRDefault="00C5432D" w:rsidP="00C5432D">
      <w:pPr>
        <w:outlineLvl w:val="0"/>
        <w:rPr>
          <w:b/>
          <w:bCs/>
          <w:u w:val="single"/>
        </w:rPr>
      </w:pPr>
      <w:r>
        <w:rPr>
          <w:b/>
          <w:bCs/>
          <w:u w:val="single"/>
        </w:rPr>
        <w:t>Policy</w:t>
      </w:r>
      <w:r w:rsidRPr="00FB3650">
        <w:rPr>
          <w:b/>
          <w:bCs/>
        </w:rPr>
        <w:t>:</w:t>
      </w:r>
    </w:p>
    <w:p w14:paraId="2426EB84" w14:textId="77777777" w:rsidR="00C5432D" w:rsidRDefault="00C5432D" w:rsidP="00C5432D"/>
    <w:p w14:paraId="0425F050" w14:textId="77777777" w:rsidR="00073FC8" w:rsidRDefault="00073FC8" w:rsidP="00C5432D">
      <w:pPr>
        <w:jc w:val="both"/>
      </w:pPr>
      <w:r>
        <w:t>While attending the Adult Day Health Care Program, all registrants will have the opportunity to make their own meal selections from a menu, in addition, they are able to choose where they would like to sit in the dining room.  In the event that a registrant elects to eat in a separate location within the Program space, accommodations will be made to the registrant provided that there is no risk to the registrant’s health or safety that would prevent them from doing so.</w:t>
      </w:r>
    </w:p>
    <w:p w14:paraId="3E80D9DF" w14:textId="77777777" w:rsidR="00073FC8" w:rsidRDefault="00073FC8" w:rsidP="00C5432D">
      <w:pPr>
        <w:jc w:val="both"/>
      </w:pPr>
    </w:p>
    <w:p w14:paraId="70330B50" w14:textId="77777777" w:rsidR="00595110" w:rsidRDefault="00595110" w:rsidP="00C5432D">
      <w:pPr>
        <w:jc w:val="both"/>
      </w:pPr>
      <w:r>
        <w:t>If a registrant chooses to eat a meal outside of the regularly scheduled timeframes, the Adult Day Health Care Program will accommodate that decision by holding the individual’s meal until they are ready to eat.  These individualized choices will be documented in the registrant’s person centered care plan.</w:t>
      </w:r>
    </w:p>
    <w:p w14:paraId="7145EAF4" w14:textId="77777777" w:rsidR="00595110" w:rsidRDefault="00595110" w:rsidP="00C5432D">
      <w:pPr>
        <w:jc w:val="both"/>
      </w:pPr>
    </w:p>
    <w:p w14:paraId="22538C40" w14:textId="77777777" w:rsidR="00C5432D" w:rsidRDefault="006074DD" w:rsidP="00C5432D">
      <w:pPr>
        <w:jc w:val="both"/>
      </w:pPr>
      <w:r>
        <w:t xml:space="preserve">A variety of packaged </w:t>
      </w:r>
      <w:r w:rsidR="00595110">
        <w:t>daily snack</w:t>
      </w:r>
      <w:r>
        <w:t>s</w:t>
      </w:r>
      <w:r w:rsidR="00595110">
        <w:t xml:space="preserve"> will al</w:t>
      </w:r>
      <w:r w:rsidR="00073FC8">
        <w:t>so be available throughout the P</w:t>
      </w:r>
      <w:r w:rsidR="00595110">
        <w:t>r</w:t>
      </w:r>
      <w:r w:rsidR="00073FC8">
        <w:t>ogram hours for the registrant</w:t>
      </w:r>
      <w:r w:rsidR="00595110">
        <w:t xml:space="preserve"> to have access to independently </w:t>
      </w:r>
      <w:proofErr w:type="gramStart"/>
      <w:r w:rsidR="00595110">
        <w:t>in order to</w:t>
      </w:r>
      <w:proofErr w:type="gramEnd"/>
      <w:r w:rsidR="00595110">
        <w:t xml:space="preserve"> not limit their life choices.</w:t>
      </w:r>
      <w:r w:rsidR="00073FC8">
        <w:t xml:space="preserve">  These snacks do not need to be consumed during Program attendance as a registrant can choose to take the snack home with them, if they prefer.  </w:t>
      </w:r>
    </w:p>
    <w:p w14:paraId="7A384598" w14:textId="77777777" w:rsidR="00595110" w:rsidRDefault="00595110" w:rsidP="00C5432D">
      <w:pPr>
        <w:jc w:val="both"/>
      </w:pPr>
    </w:p>
    <w:p w14:paraId="5BD2C9F5" w14:textId="77777777" w:rsidR="00595110" w:rsidRDefault="00595110" w:rsidP="00C5432D">
      <w:pPr>
        <w:jc w:val="both"/>
      </w:pPr>
      <w:r>
        <w:t>The Adult Day Health Care Program may limit a registrant’s access to food only if there is an identified and documented risk to their health or safety that requires rights modification within their developed person centered care plan.</w:t>
      </w:r>
    </w:p>
    <w:p w14:paraId="409AB204" w14:textId="77777777" w:rsidR="00A9204E" w:rsidRDefault="00A9204E"/>
    <w:p w14:paraId="09AC2085" w14:textId="77777777" w:rsidR="00282C4A" w:rsidRDefault="00282C4A"/>
    <w:sectPr w:rsidR="00282C4A" w:rsidSect="00C11376">
      <w:footerReference w:type="default" r:id="rId10"/>
      <w:pgSz w:w="12240" w:h="15840"/>
      <w:pgMar w:top="1152" w:right="1008" w:bottom="1440" w:left="1008" w:header="0"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D646A" w14:textId="77777777" w:rsidR="00282C4A" w:rsidRDefault="00282C4A" w:rsidP="00282C4A">
      <w:r>
        <w:separator/>
      </w:r>
    </w:p>
  </w:endnote>
  <w:endnote w:type="continuationSeparator" w:id="0">
    <w:p w14:paraId="063AC541" w14:textId="77777777" w:rsidR="00282C4A" w:rsidRDefault="00282C4A" w:rsidP="0028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182BE" w14:textId="77777777" w:rsidR="00AC5C34" w:rsidRPr="00595110" w:rsidRDefault="00282C4A">
    <w:pPr>
      <w:pStyle w:val="Footer"/>
      <w:rPr>
        <w:rFonts w:ascii="Times New Roman" w:hAnsi="Times New Roman" w:cs="Times New Roman"/>
        <w:b/>
        <w:sz w:val="24"/>
        <w:szCs w:val="24"/>
      </w:rPr>
    </w:pPr>
    <w:r w:rsidRPr="00595110">
      <w:rPr>
        <w:rFonts w:ascii="Times New Roman" w:hAnsi="Times New Roman" w:cs="Times New Roman"/>
        <w:b/>
        <w:sz w:val="24"/>
        <w:szCs w:val="24"/>
      </w:rPr>
      <w:t>CHARLES T. SITRIN HEALTH CARE CENTER, INC.</w:t>
    </w:r>
  </w:p>
  <w:p w14:paraId="4B3172DD" w14:textId="77777777" w:rsidR="00AC5C34" w:rsidRPr="00595110" w:rsidRDefault="00282C4A">
    <w:pPr>
      <w:pStyle w:val="Footer"/>
      <w:rPr>
        <w:rFonts w:ascii="Times New Roman" w:hAnsi="Times New Roman" w:cs="Times New Roman"/>
        <w:sz w:val="24"/>
        <w:szCs w:val="24"/>
      </w:rPr>
    </w:pPr>
    <w:proofErr w:type="gramStart"/>
    <w:r w:rsidRPr="00595110">
      <w:rPr>
        <w:rFonts w:ascii="Times New Roman" w:hAnsi="Times New Roman" w:cs="Times New Roman"/>
        <w:sz w:val="24"/>
        <w:szCs w:val="24"/>
      </w:rPr>
      <w:t xml:space="preserve">( </w:t>
    </w:r>
    <w:r w:rsidR="006074DD">
      <w:rPr>
        <w:rFonts w:ascii="Times New Roman" w:hAnsi="Times New Roman" w:cs="Times New Roman"/>
        <w:sz w:val="24"/>
        <w:szCs w:val="24"/>
      </w:rPr>
      <w:t>X</w:t>
    </w:r>
    <w:proofErr w:type="gramEnd"/>
    <w:r w:rsidR="006074DD">
      <w:rPr>
        <w:rFonts w:ascii="Times New Roman" w:hAnsi="Times New Roman" w:cs="Times New Roman"/>
        <w:sz w:val="24"/>
        <w:szCs w:val="24"/>
      </w:rPr>
      <w:t xml:space="preserve"> </w:t>
    </w:r>
    <w:r w:rsidRPr="00595110">
      <w:rPr>
        <w:rFonts w:ascii="Times New Roman" w:hAnsi="Times New Roman" w:cs="Times New Roman"/>
        <w:sz w:val="24"/>
        <w:szCs w:val="24"/>
      </w:rPr>
      <w:t xml:space="preserve">) Replaces – Dated:  </w:t>
    </w:r>
    <w:r w:rsidR="006074DD">
      <w:rPr>
        <w:rFonts w:ascii="Times New Roman" w:hAnsi="Times New Roman" w:cs="Times New Roman"/>
        <w:sz w:val="24"/>
        <w:szCs w:val="24"/>
      </w:rPr>
      <w:t>10/</w:t>
    </w:r>
    <w:r w:rsidR="00073FC8">
      <w:rPr>
        <w:rFonts w:ascii="Times New Roman" w:hAnsi="Times New Roman" w:cs="Times New Roman"/>
        <w:sz w:val="24"/>
        <w:szCs w:val="24"/>
      </w:rPr>
      <w:t>20</w:t>
    </w:r>
    <w:r w:rsidR="006074DD">
      <w:rPr>
        <w:rFonts w:ascii="Times New Roman" w:hAnsi="Times New Roman" w:cs="Times New Roman"/>
        <w:sz w:val="24"/>
        <w:szCs w:val="24"/>
      </w:rPr>
      <w:t>19</w:t>
    </w:r>
    <w:r w:rsidRPr="00595110">
      <w:rPr>
        <w:rFonts w:ascii="Times New Roman" w:hAnsi="Times New Roman" w:cs="Times New Roman"/>
        <w:sz w:val="24"/>
        <w:szCs w:val="24"/>
      </w:rPr>
      <w:t xml:space="preserve">                                 </w:t>
    </w:r>
    <w:r w:rsidR="00073FC8">
      <w:rPr>
        <w:rFonts w:ascii="Times New Roman" w:hAnsi="Times New Roman" w:cs="Times New Roman"/>
        <w:sz w:val="24"/>
        <w:szCs w:val="24"/>
      </w:rPr>
      <w:t xml:space="preserve">                 </w:t>
    </w:r>
    <w:r w:rsidRPr="00595110">
      <w:rPr>
        <w:rFonts w:ascii="Times New Roman" w:hAnsi="Times New Roman" w:cs="Times New Roman"/>
        <w:sz w:val="24"/>
        <w:szCs w:val="24"/>
      </w:rPr>
      <w:t>Dept. Responsible: ADHC</w:t>
    </w:r>
  </w:p>
  <w:p w14:paraId="431058D5" w14:textId="77777777" w:rsidR="00AC5C34" w:rsidRPr="00595110" w:rsidRDefault="006074DD">
    <w:pPr>
      <w:pStyle w:val="Footer"/>
      <w:rPr>
        <w:rFonts w:ascii="Times New Roman" w:hAnsi="Times New Roman" w:cs="Times New Roman"/>
        <w:sz w:val="24"/>
        <w:szCs w:val="24"/>
      </w:rPr>
    </w:pPr>
    <w:r>
      <w:rPr>
        <w:rFonts w:ascii="Times New Roman" w:hAnsi="Times New Roman" w:cs="Times New Roman"/>
        <w:sz w:val="24"/>
        <w:szCs w:val="24"/>
      </w:rPr>
      <w:t xml:space="preserve">(     </w:t>
    </w:r>
    <w:r w:rsidR="00282C4A" w:rsidRPr="00595110">
      <w:rPr>
        <w:rFonts w:ascii="Times New Roman" w:hAnsi="Times New Roman" w:cs="Times New Roman"/>
        <w:sz w:val="24"/>
        <w:szCs w:val="24"/>
      </w:rPr>
      <w:t xml:space="preserve">) New Page                                           </w:t>
    </w:r>
    <w:r w:rsidR="00595110">
      <w:rPr>
        <w:rFonts w:ascii="Times New Roman" w:hAnsi="Times New Roman" w:cs="Times New Roman"/>
        <w:sz w:val="24"/>
        <w:szCs w:val="24"/>
      </w:rPr>
      <w:t xml:space="preserve">     </w:t>
    </w:r>
    <w:r w:rsidR="00595110">
      <w:rPr>
        <w:rFonts w:ascii="Times New Roman" w:hAnsi="Times New Roman" w:cs="Times New Roman"/>
        <w:sz w:val="24"/>
        <w:szCs w:val="24"/>
      </w:rPr>
      <w:tab/>
      <w:t xml:space="preserve">                   </w:t>
    </w:r>
    <w:r w:rsidR="00282C4A" w:rsidRPr="00595110">
      <w:rPr>
        <w:rFonts w:ascii="Times New Roman" w:hAnsi="Times New Roman" w:cs="Times New Roman"/>
        <w:sz w:val="24"/>
        <w:szCs w:val="24"/>
      </w:rPr>
      <w:t xml:space="preserve">Effective: </w:t>
    </w:r>
    <w:r>
      <w:rPr>
        <w:rFonts w:ascii="Times New Roman" w:hAnsi="Times New Roman" w:cs="Times New Roman"/>
        <w:sz w:val="24"/>
        <w:szCs w:val="24"/>
      </w:rPr>
      <w:t xml:space="preserve"> Revised 10/</w:t>
    </w:r>
    <w:r w:rsidR="00073FC8">
      <w:rPr>
        <w:rFonts w:ascii="Times New Roman" w:hAnsi="Times New Roman" w:cs="Times New Roman"/>
        <w:sz w:val="24"/>
        <w:szCs w:val="24"/>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8325C" w14:textId="77777777" w:rsidR="00282C4A" w:rsidRDefault="00282C4A" w:rsidP="00282C4A">
      <w:r>
        <w:separator/>
      </w:r>
    </w:p>
  </w:footnote>
  <w:footnote w:type="continuationSeparator" w:id="0">
    <w:p w14:paraId="340EDEC9" w14:textId="77777777" w:rsidR="00282C4A" w:rsidRDefault="00282C4A" w:rsidP="00282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2"/>
  </w:num>
  <w:num w:numId="3">
    <w:abstractNumId w:val="10"/>
  </w:num>
  <w:num w:numId="4">
    <w:abstractNumId w:val="21"/>
  </w:num>
  <w:num w:numId="5">
    <w:abstractNumId w:val="13"/>
  </w:num>
  <w:num w:numId="6">
    <w:abstractNumId w:val="16"/>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5"/>
  </w:num>
  <w:num w:numId="20">
    <w:abstractNumId w:val="20"/>
  </w:num>
  <w:num w:numId="21">
    <w:abstractNumId w:val="17"/>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2D"/>
    <w:rsid w:val="00073FC8"/>
    <w:rsid w:val="00282C4A"/>
    <w:rsid w:val="00595110"/>
    <w:rsid w:val="006074DD"/>
    <w:rsid w:val="00645252"/>
    <w:rsid w:val="006D3D74"/>
    <w:rsid w:val="0083569A"/>
    <w:rsid w:val="00A9204E"/>
    <w:rsid w:val="00C5432D"/>
    <w:rsid w:val="00C82200"/>
    <w:rsid w:val="00EE2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6F913"/>
  <w15:docId w15:val="{190D644E-0835-4D5E-80F8-6FEC23EBC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32D"/>
    <w:rPr>
      <w:rFonts w:ascii="Times New Roman" w:eastAsia="Times New Roman" w:hAnsi="Times New Roman" w:cs="Lucida Sans Unicode"/>
      <w:sz w:val="24"/>
      <w:szCs w:val="20"/>
    </w:rPr>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sz w:val="22"/>
      <w:szCs w:val="22"/>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sz w:val="22"/>
      <w:szCs w:val="22"/>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sz w:val="22"/>
      <w:szCs w:val="22"/>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sz w:val="22"/>
      <w:szCs w:val="22"/>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rFonts w:asciiTheme="minorHAnsi" w:eastAsiaTheme="minorHAnsi" w:hAnsiTheme="minorHAnsi" w:cstheme="minorBidi"/>
      <w:i/>
      <w:iCs/>
      <w:color w:val="1F4E79" w:themeColor="accent1" w:themeShade="80"/>
      <w:sz w:val="22"/>
      <w:szCs w:val="22"/>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rFonts w:asciiTheme="minorHAnsi" w:eastAsiaTheme="minorHAnsi" w:hAnsiTheme="minorHAnsi" w:cstheme="minorBidi"/>
      <w:i/>
      <w:iCs/>
      <w:color w:val="44546A" w:themeColor="text2"/>
      <w:sz w:val="22"/>
      <w:szCs w:val="18"/>
    </w:rPr>
  </w:style>
  <w:style w:type="paragraph" w:styleId="BalloonText">
    <w:name w:val="Balloon Text"/>
    <w:basedOn w:val="Normal"/>
    <w:link w:val="BalloonTextChar"/>
    <w:uiPriority w:val="99"/>
    <w:semiHidden/>
    <w:unhideWhenUsed/>
    <w:rsid w:val="00645252"/>
    <w:rPr>
      <w:rFonts w:ascii="Segoe UI" w:eastAsiaTheme="minorHAnsi" w:hAnsi="Segoe UI" w:cs="Segoe UI"/>
      <w:sz w:val="22"/>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1F4E79" w:themeColor="accent1" w:themeShade="80"/>
      <w:sz w:val="22"/>
      <w:szCs w:val="22"/>
    </w:rPr>
  </w:style>
  <w:style w:type="paragraph" w:styleId="BodyText3">
    <w:name w:val="Body Text 3"/>
    <w:basedOn w:val="Normal"/>
    <w:link w:val="BodyText3Char"/>
    <w:uiPriority w:val="99"/>
    <w:semiHidden/>
    <w:unhideWhenUsed/>
    <w:rsid w:val="00645252"/>
    <w:pPr>
      <w:spacing w:after="120"/>
    </w:pPr>
    <w:rPr>
      <w:rFonts w:asciiTheme="minorHAnsi" w:eastAsiaTheme="minorHAnsi" w:hAnsiTheme="minorHAnsi" w:cstheme="minorBidi"/>
      <w:sz w:val="22"/>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rFonts w:asciiTheme="minorHAnsi" w:eastAsiaTheme="minorHAnsi" w:hAnsiTheme="minorHAnsi" w:cstheme="minorBidi"/>
      <w:sz w:val="22"/>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rFonts w:asciiTheme="minorHAnsi" w:eastAsiaTheme="minorHAnsi" w:hAnsiTheme="minorHAnsi" w:cstheme="minorBidi"/>
      <w:sz w:val="22"/>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eastAsiaTheme="minorHAnsi" w:hAnsi="Segoe UI" w:cs="Segoe UI"/>
      <w:sz w:val="22"/>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rFonts w:asciiTheme="minorHAnsi" w:eastAsiaTheme="minorHAnsi" w:hAnsiTheme="minorHAnsi" w:cstheme="minorBidi"/>
      <w:sz w:val="22"/>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 w:val="22"/>
    </w:rPr>
  </w:style>
  <w:style w:type="paragraph" w:styleId="FootnoteText">
    <w:name w:val="footnote text"/>
    <w:basedOn w:val="Normal"/>
    <w:link w:val="FootnoteTextChar"/>
    <w:uiPriority w:val="99"/>
    <w:semiHidden/>
    <w:unhideWhenUsed/>
    <w:rsid w:val="00645252"/>
    <w:rPr>
      <w:rFonts w:asciiTheme="minorHAnsi" w:eastAsiaTheme="minorHAnsi" w:hAnsiTheme="minorHAnsi" w:cstheme="minorBidi"/>
      <w:sz w:val="22"/>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eastAsiaTheme="minorHAnsi" w:hAnsi="Consolas" w:cstheme="minorBidi"/>
      <w:sz w:val="22"/>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eastAsiaTheme="minorHAnsi" w:hAnsi="Consolas" w:cstheme="minorBidi"/>
      <w:sz w:val="22"/>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nhideWhenUsed/>
    <w:rsid w:val="006D3D74"/>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nhideWhenUsed/>
    <w:rsid w:val="006D3D74"/>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6D3D74"/>
  </w:style>
  <w:style w:type="paragraph" w:styleId="TOC9">
    <w:name w:val="toc 9"/>
    <w:basedOn w:val="Normal"/>
    <w:next w:val="Normal"/>
    <w:autoRedefine/>
    <w:uiPriority w:val="39"/>
    <w:semiHidden/>
    <w:unhideWhenUsed/>
    <w:rsid w:val="0083569A"/>
    <w:pPr>
      <w:spacing w:after="120"/>
      <w:ind w:left="1757"/>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rkle\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infopath/2007/PartnerControl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4873beb7-5857-4685-be1f-d57550cc96cc"/>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Single spaced (blank)</Template>
  <TotalTime>1</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Markle, Lisa</dc:creator>
  <cp:lastModifiedBy>Copperwheat, Maria (HEALTH)</cp:lastModifiedBy>
  <cp:revision>2</cp:revision>
  <cp:lastPrinted>2021-11-16T01:19:00Z</cp:lastPrinted>
  <dcterms:created xsi:type="dcterms:W3CDTF">2022-02-15T17:42:00Z</dcterms:created>
  <dcterms:modified xsi:type="dcterms:W3CDTF">2022-02-15T17:42:00Z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